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CA9CF">
      <w:pPr>
        <w:ind w:firstLine="1606" w:firstLineChars="500"/>
        <w:jc w:val="both"/>
        <w:rPr>
          <w:rFonts w:ascii="Times New Roman" w:hAnsi="Times New Roman"/>
          <w:b/>
          <w:sz w:val="32"/>
          <w:szCs w:val="28"/>
        </w:rPr>
      </w:pPr>
      <w:r>
        <w:rPr>
          <w:rFonts w:ascii="Times New Roman" w:hAnsi="Times New Roman"/>
          <w:b/>
          <w:sz w:val="32"/>
          <w:szCs w:val="28"/>
        </w:rPr>
        <w:t>SH302C  Portable oil particle contamination meter</w:t>
      </w:r>
    </w:p>
    <w:p w14:paraId="22759700">
      <w:pPr>
        <w:jc w:val="center"/>
        <w:rPr>
          <w:rFonts w:ascii="Times New Roman" w:hAnsi="Times New Roman"/>
          <w:sz w:val="28"/>
          <w:szCs w:val="28"/>
        </w:rPr>
      </w:pPr>
      <w:r>
        <w:rPr>
          <w:rFonts w:ascii="Times New Roman" w:hAnsi="Times New Roman"/>
          <w:sz w:val="28"/>
          <w:szCs w:val="28"/>
        </w:rPr>
        <w:drawing>
          <wp:inline distT="0" distB="0" distL="114300" distR="114300">
            <wp:extent cx="1447165" cy="1656080"/>
            <wp:effectExtent l="0" t="0" r="63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cstate="print"/>
                    <a:stretch>
                      <a:fillRect/>
                    </a:stretch>
                  </pic:blipFill>
                  <pic:spPr>
                    <a:xfrm>
                      <a:off x="0" y="0"/>
                      <a:ext cx="1447165" cy="1656080"/>
                    </a:xfrm>
                    <a:prstGeom prst="rect">
                      <a:avLst/>
                    </a:prstGeom>
                    <a:noFill/>
                    <a:ln>
                      <a:noFill/>
                    </a:ln>
                  </pic:spPr>
                </pic:pic>
              </a:graphicData>
            </a:graphic>
          </wp:inline>
        </w:drawing>
      </w:r>
      <w:bookmarkStart w:id="0" w:name="_GoBack"/>
      <w:bookmarkEnd w:id="0"/>
    </w:p>
    <w:p w14:paraId="06EB28D3">
      <w:pPr>
        <w:rPr>
          <w:rFonts w:ascii="Times New Roman" w:hAnsi="Times New Roman"/>
          <w:sz w:val="28"/>
          <w:szCs w:val="28"/>
        </w:rPr>
      </w:pPr>
    </w:p>
    <w:p w14:paraId="38042761">
      <w:pPr>
        <w:spacing w:line="360" w:lineRule="auto"/>
        <w:ind w:firstLine="560" w:firstLineChars="200"/>
        <w:rPr>
          <w:rFonts w:ascii="Times New Roman" w:hAnsi="Times New Roman"/>
          <w:sz w:val="28"/>
          <w:szCs w:val="28"/>
        </w:rPr>
      </w:pPr>
      <w:r>
        <w:rPr>
          <w:rFonts w:ascii="Times New Roman" w:hAnsi="Times New Roman"/>
          <w:sz w:val="28"/>
          <w:szCs w:val="28"/>
        </w:rPr>
        <w:t xml:space="preserve">The SH302C portable oil particle contamination meter adopts the counting principle of the light blocking (shading) method specified by the International Hydraulic Standards Committee, and is specifically used as a rapid detection device for on-site oil contamination levels. </w:t>
      </w:r>
    </w:p>
    <w:p w14:paraId="1BFB153B">
      <w:pPr>
        <w:spacing w:line="360" w:lineRule="auto"/>
        <w:ind w:firstLine="560" w:firstLineChars="200"/>
        <w:rPr>
          <w:rFonts w:ascii="Times New Roman" w:hAnsi="Times New Roman"/>
          <w:sz w:val="28"/>
          <w:szCs w:val="28"/>
        </w:rPr>
      </w:pPr>
      <w:r>
        <w:rPr>
          <w:rFonts w:ascii="Times New Roman" w:hAnsi="Times New Roman"/>
          <w:sz w:val="28"/>
          <w:szCs w:val="28"/>
        </w:rPr>
        <w:t>It has the advantages of small size, light weight, fast detection speed, high accuracy, and good repeatability, and can work under high temperature, high pressure, and other harsh conditions. Built in micro water sensor and temperature sensor, it can detect both water content and oil temperature while detecting contamination. It is suitable for transformer oil (i.e. insulating oil), hydraulic oil, lubricating oil, synthetic oil, and other fluids, and can be widely used in aerospace, petrochemical, transportation and port, steel metallurgy, automobile manufacturing, and other fields.</w:t>
      </w:r>
    </w:p>
    <w:p w14:paraId="05CCB091">
      <w:pPr>
        <w:rPr>
          <w:rFonts w:ascii="Times New Roman" w:hAnsi="Times New Roman"/>
          <w:sz w:val="28"/>
          <w:szCs w:val="28"/>
        </w:rPr>
      </w:pPr>
    </w:p>
    <w:p w14:paraId="6D6A1638">
      <w:pPr>
        <w:rPr>
          <w:rFonts w:ascii="Times New Roman" w:hAnsi="Times New Roman"/>
          <w:b/>
          <w:sz w:val="32"/>
          <w:szCs w:val="28"/>
        </w:rPr>
      </w:pPr>
      <w:r>
        <w:rPr>
          <w:rFonts w:ascii="Times New Roman" w:hAnsi="Times New Roman"/>
          <w:b/>
          <w:sz w:val="32"/>
          <w:szCs w:val="28"/>
        </w:rPr>
        <w:t>Key Features</w:t>
      </w:r>
    </w:p>
    <w:p w14:paraId="1148DF0C">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Adopting the principle of light blocking (shading) method, using high-precision laser sensors, featuring small size, high accuracy, and stable performance</w:t>
      </w:r>
    </w:p>
    <w:p w14:paraId="6C9DEDF5">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Suitable for laboratory or on-site testing, as well as optional pressure reducing devices for online high-pressure measurement and real-time monitoring of particle contamination in the oil system</w:t>
      </w:r>
    </w:p>
    <w:p w14:paraId="6966DD0A">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Can be externally connected to a pressure chamber to form positive/negative pressure, enabling the detection of high viscosity samples and sample degassing</w:t>
      </w:r>
    </w:p>
    <w:p w14:paraId="0B33D755">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Built-in data analysis system, which can display the true data of particle size of each channel and automatically determine the sample grade</w:t>
      </w:r>
    </w:p>
    <w:p w14:paraId="616E08F6">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The pipeline is made of 316L and PTFE materials to meet the requirements of various organic solvents and oil detection</w:t>
      </w:r>
    </w:p>
    <w:p w14:paraId="6A4DE4F9">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With volume flushing and duration flushing modes, it is convenient for users to use and maintain the equipment</w:t>
      </w:r>
    </w:p>
    <w:p w14:paraId="760D19E5">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Built in ISO4406, NAS1638, SAE4059 (integral and differential), GJB420A, GJB420B Г OCT17216, GB/T14039 and other particle pollution level standards</w:t>
      </w:r>
    </w:p>
    <w:p w14:paraId="43A41FF1">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Built-in calibration function, which can be calibrated according to standards such as GB/T21540, ISO4402, and GB/T18854</w:t>
      </w:r>
    </w:p>
    <w:p w14:paraId="086E71A5">
      <w:pPr>
        <w:pStyle w:val="10"/>
        <w:numPr>
          <w:ilvl w:val="0"/>
          <w:numId w:val="1"/>
        </w:numPr>
        <w:spacing w:line="360" w:lineRule="auto"/>
        <w:ind w:firstLineChars="0"/>
        <w:rPr>
          <w:rFonts w:ascii="Times New Roman" w:hAnsi="Times New Roman"/>
          <w:sz w:val="28"/>
          <w:szCs w:val="28"/>
        </w:rPr>
      </w:pPr>
      <w:r>
        <w:rPr>
          <w:rFonts w:hint="eastAsia" w:ascii="Times New Roman" w:hAnsi="Times New Roman"/>
          <w:sz w:val="28"/>
          <w:szCs w:val="28"/>
        </w:rPr>
        <w:t>Built in data analysis system, capable of automatically determining sample grade based on standards, with automatic data processing and printing functions</w:t>
      </w:r>
    </w:p>
    <w:p w14:paraId="567D9FFC">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Built-in micro water sensor and temperature sensor</w:t>
      </w:r>
    </w:p>
    <w:p w14:paraId="698AE385">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Bilingual Chinese and English, one button switch, with preset, input, modification, and storage functions, convenient and fast operation</w:t>
      </w:r>
    </w:p>
    <w:p w14:paraId="2E619F45">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Large storage, optionally stored in internal or external storage devices of the instrument</w:t>
      </w:r>
    </w:p>
    <w:p w14:paraId="1D5B196E">
      <w:pPr>
        <w:pStyle w:val="10"/>
        <w:numPr>
          <w:ilvl w:val="0"/>
          <w:numId w:val="1"/>
        </w:numPr>
        <w:spacing w:line="360" w:lineRule="auto"/>
        <w:ind w:firstLineChars="0"/>
        <w:rPr>
          <w:rFonts w:ascii="Times New Roman" w:hAnsi="Times New Roman"/>
          <w:sz w:val="28"/>
          <w:szCs w:val="28"/>
        </w:rPr>
      </w:pPr>
      <w:r>
        <w:rPr>
          <w:rFonts w:ascii="Times New Roman" w:hAnsi="Times New Roman"/>
          <w:sz w:val="28"/>
          <w:szCs w:val="28"/>
        </w:rPr>
        <w:t>Embedded design, high-strength housing, easy to carry, suitable for all types of construction machinery</w:t>
      </w:r>
    </w:p>
    <w:p w14:paraId="14B3F1A2">
      <w:pPr>
        <w:rPr>
          <w:rFonts w:ascii="Times New Roman" w:hAnsi="Times New Roman"/>
          <w:b/>
          <w:sz w:val="32"/>
          <w:szCs w:val="28"/>
        </w:rPr>
      </w:pPr>
      <w:r>
        <w:rPr>
          <w:rFonts w:ascii="Times New Roman" w:hAnsi="Times New Roman"/>
          <w:b/>
          <w:sz w:val="32"/>
          <w:szCs w:val="28"/>
        </w:rPr>
        <w:t>Technical indicators</w:t>
      </w:r>
    </w:p>
    <w:tbl>
      <w:tblPr>
        <w:tblStyle w:val="6"/>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103"/>
      </w:tblGrid>
      <w:tr w14:paraId="631C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35A08382">
            <w:pPr>
              <w:widowControl w:val="0"/>
              <w:jc w:val="both"/>
              <w:rPr>
                <w:rFonts w:ascii="Times New Roman" w:hAnsi="Times New Roman" w:eastAsia="宋体"/>
                <w:sz w:val="28"/>
                <w:szCs w:val="28"/>
              </w:rPr>
            </w:pPr>
            <w:r>
              <w:rPr>
                <w:rFonts w:ascii="Times New Roman" w:hAnsi="Times New Roman" w:eastAsia="宋体"/>
                <w:sz w:val="28"/>
                <w:szCs w:val="28"/>
              </w:rPr>
              <w:t>Light source</w:t>
            </w:r>
          </w:p>
        </w:tc>
        <w:tc>
          <w:tcPr>
            <w:tcW w:w="5103" w:type="dxa"/>
          </w:tcPr>
          <w:p w14:paraId="73DFB822">
            <w:pPr>
              <w:widowControl w:val="0"/>
              <w:jc w:val="both"/>
              <w:rPr>
                <w:rFonts w:ascii="Times New Roman" w:hAnsi="Times New Roman" w:eastAsia="宋体"/>
                <w:sz w:val="28"/>
                <w:szCs w:val="28"/>
              </w:rPr>
            </w:pPr>
            <w:r>
              <w:rPr>
                <w:rFonts w:ascii="Times New Roman" w:hAnsi="Times New Roman" w:eastAsia="宋体"/>
                <w:sz w:val="28"/>
                <w:szCs w:val="28"/>
              </w:rPr>
              <w:t>Semiconductor laser</w:t>
            </w:r>
          </w:p>
        </w:tc>
      </w:tr>
      <w:tr w14:paraId="146C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489D344E">
            <w:pPr>
              <w:widowControl w:val="0"/>
              <w:jc w:val="both"/>
              <w:rPr>
                <w:rFonts w:ascii="Times New Roman" w:hAnsi="Times New Roman" w:eastAsia="宋体"/>
                <w:sz w:val="28"/>
                <w:szCs w:val="28"/>
              </w:rPr>
            </w:pPr>
            <w:r>
              <w:rPr>
                <w:rFonts w:ascii="Times New Roman" w:hAnsi="Times New Roman" w:eastAsia="宋体"/>
                <w:sz w:val="28"/>
                <w:szCs w:val="28"/>
              </w:rPr>
              <w:t>Offline detection speed</w:t>
            </w:r>
          </w:p>
        </w:tc>
        <w:tc>
          <w:tcPr>
            <w:tcW w:w="5103" w:type="dxa"/>
          </w:tcPr>
          <w:p w14:paraId="299A0F5D">
            <w:pPr>
              <w:widowControl w:val="0"/>
              <w:jc w:val="both"/>
              <w:rPr>
                <w:rFonts w:ascii="Times New Roman" w:hAnsi="Times New Roman" w:eastAsia="宋体"/>
                <w:sz w:val="28"/>
                <w:szCs w:val="28"/>
              </w:rPr>
            </w:pPr>
            <w:r>
              <w:rPr>
                <w:rFonts w:ascii="Times New Roman" w:hAnsi="Times New Roman" w:eastAsia="宋体"/>
                <w:sz w:val="28"/>
                <w:szCs w:val="28"/>
              </w:rPr>
              <w:t>5-60mL/min</w:t>
            </w:r>
          </w:p>
        </w:tc>
      </w:tr>
      <w:tr w14:paraId="564C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0BF70A6F">
            <w:pPr>
              <w:widowControl w:val="0"/>
              <w:jc w:val="both"/>
              <w:rPr>
                <w:rFonts w:ascii="Times New Roman" w:hAnsi="Times New Roman" w:eastAsia="宋体"/>
                <w:sz w:val="28"/>
                <w:szCs w:val="28"/>
              </w:rPr>
            </w:pPr>
            <w:r>
              <w:rPr>
                <w:rFonts w:ascii="Times New Roman" w:hAnsi="Times New Roman" w:eastAsia="宋体"/>
                <w:sz w:val="28"/>
                <w:szCs w:val="28"/>
              </w:rPr>
              <w:t>Offline testing of sample viscosity</w:t>
            </w:r>
          </w:p>
        </w:tc>
        <w:tc>
          <w:tcPr>
            <w:tcW w:w="5103" w:type="dxa"/>
          </w:tcPr>
          <w:p w14:paraId="055E5776">
            <w:pPr>
              <w:widowControl w:val="0"/>
              <w:jc w:val="both"/>
              <w:rPr>
                <w:rFonts w:ascii="Times New Roman" w:hAnsi="Times New Roman" w:eastAsia="宋体"/>
                <w:sz w:val="28"/>
                <w:szCs w:val="28"/>
              </w:rPr>
            </w:pPr>
            <w:r>
              <w:rPr>
                <w:rFonts w:ascii="Times New Roman" w:hAnsi="Times New Roman" w:eastAsia="宋体"/>
                <w:sz w:val="28"/>
                <w:szCs w:val="28"/>
              </w:rPr>
              <w:t xml:space="preserve">≤100cSt </w:t>
            </w:r>
          </w:p>
        </w:tc>
      </w:tr>
      <w:tr w14:paraId="0267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072EDF20">
            <w:pPr>
              <w:widowControl w:val="0"/>
              <w:jc w:val="both"/>
              <w:rPr>
                <w:rFonts w:ascii="Times New Roman" w:hAnsi="Times New Roman" w:eastAsia="宋体"/>
                <w:sz w:val="28"/>
                <w:szCs w:val="28"/>
              </w:rPr>
            </w:pPr>
            <w:r>
              <w:rPr>
                <w:rFonts w:ascii="Times New Roman" w:hAnsi="Times New Roman" w:eastAsia="宋体"/>
                <w:sz w:val="28"/>
                <w:szCs w:val="28"/>
              </w:rPr>
              <w:t>Online pressure detection</w:t>
            </w:r>
          </w:p>
        </w:tc>
        <w:tc>
          <w:tcPr>
            <w:tcW w:w="5103" w:type="dxa"/>
          </w:tcPr>
          <w:p w14:paraId="28FA1841">
            <w:pPr>
              <w:widowControl w:val="0"/>
              <w:jc w:val="both"/>
              <w:rPr>
                <w:rFonts w:ascii="Times New Roman" w:hAnsi="Times New Roman" w:eastAsia="宋体"/>
                <w:sz w:val="28"/>
                <w:szCs w:val="28"/>
              </w:rPr>
            </w:pPr>
            <w:r>
              <w:rPr>
                <w:rFonts w:ascii="Times New Roman" w:hAnsi="Times New Roman" w:eastAsia="宋体"/>
                <w:sz w:val="28"/>
                <w:szCs w:val="28"/>
              </w:rPr>
              <w:t>0.1-0.6Mpa</w:t>
            </w:r>
          </w:p>
        </w:tc>
      </w:tr>
      <w:tr w14:paraId="3695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797E2D8C">
            <w:pPr>
              <w:widowControl w:val="0"/>
              <w:jc w:val="both"/>
              <w:rPr>
                <w:rFonts w:ascii="Times New Roman" w:hAnsi="Times New Roman" w:eastAsia="宋体"/>
                <w:sz w:val="28"/>
                <w:szCs w:val="28"/>
              </w:rPr>
            </w:pPr>
            <w:r>
              <w:rPr>
                <w:rFonts w:ascii="Times New Roman" w:hAnsi="Times New Roman" w:eastAsia="宋体"/>
                <w:sz w:val="28"/>
                <w:szCs w:val="28"/>
              </w:rPr>
              <w:t>Particle size range</w:t>
            </w:r>
          </w:p>
        </w:tc>
        <w:tc>
          <w:tcPr>
            <w:tcW w:w="5103" w:type="dxa"/>
          </w:tcPr>
          <w:p w14:paraId="573F0AFE">
            <w:pPr>
              <w:widowControl w:val="0"/>
              <w:jc w:val="both"/>
              <w:rPr>
                <w:rFonts w:ascii="Times New Roman" w:hAnsi="Times New Roman" w:eastAsia="宋体"/>
                <w:sz w:val="28"/>
                <w:szCs w:val="28"/>
              </w:rPr>
            </w:pPr>
            <w:r>
              <w:rPr>
                <w:rFonts w:ascii="Times New Roman" w:hAnsi="Times New Roman" w:eastAsia="宋体"/>
                <w:sz w:val="28"/>
                <w:szCs w:val="28"/>
              </w:rPr>
              <w:t>1-500μm</w:t>
            </w:r>
          </w:p>
        </w:tc>
      </w:tr>
      <w:tr w14:paraId="2D56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76C657EE">
            <w:pPr>
              <w:widowControl w:val="0"/>
              <w:jc w:val="both"/>
              <w:rPr>
                <w:rFonts w:ascii="Times New Roman" w:hAnsi="Times New Roman" w:eastAsia="宋体"/>
                <w:sz w:val="28"/>
                <w:szCs w:val="28"/>
              </w:rPr>
            </w:pPr>
            <w:r>
              <w:rPr>
                <w:rFonts w:ascii="Times New Roman" w:hAnsi="Times New Roman" w:eastAsia="宋体"/>
                <w:sz w:val="28"/>
                <w:szCs w:val="28"/>
              </w:rPr>
              <w:t>interface</w:t>
            </w:r>
          </w:p>
        </w:tc>
        <w:tc>
          <w:tcPr>
            <w:tcW w:w="5103" w:type="dxa"/>
          </w:tcPr>
          <w:p w14:paraId="2A86978E">
            <w:pPr>
              <w:widowControl w:val="0"/>
              <w:jc w:val="both"/>
              <w:rPr>
                <w:rFonts w:ascii="Times New Roman" w:hAnsi="Times New Roman" w:eastAsia="宋体"/>
                <w:sz w:val="28"/>
                <w:szCs w:val="28"/>
              </w:rPr>
            </w:pPr>
            <w:r>
              <w:rPr>
                <w:rFonts w:ascii="Times New Roman" w:hAnsi="Times New Roman" w:eastAsia="宋体"/>
                <w:sz w:val="28"/>
                <w:szCs w:val="28"/>
              </w:rPr>
              <w:t>USB interface, power interface</w:t>
            </w:r>
          </w:p>
        </w:tc>
      </w:tr>
      <w:tr w14:paraId="6BE1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6CC4BB1E">
            <w:pPr>
              <w:widowControl w:val="0"/>
              <w:jc w:val="both"/>
              <w:rPr>
                <w:rFonts w:ascii="Times New Roman" w:hAnsi="Times New Roman" w:eastAsia="宋体"/>
                <w:sz w:val="28"/>
                <w:szCs w:val="28"/>
              </w:rPr>
            </w:pPr>
            <w:r>
              <w:rPr>
                <w:rFonts w:ascii="Times New Roman" w:hAnsi="Times New Roman" w:eastAsia="宋体"/>
                <w:sz w:val="28"/>
                <w:szCs w:val="28"/>
              </w:rPr>
              <w:t>data storage</w:t>
            </w:r>
          </w:p>
        </w:tc>
        <w:tc>
          <w:tcPr>
            <w:tcW w:w="5103" w:type="dxa"/>
          </w:tcPr>
          <w:p w14:paraId="2DC72EDC">
            <w:pPr>
              <w:widowControl w:val="0"/>
              <w:jc w:val="both"/>
              <w:rPr>
                <w:rFonts w:ascii="Times New Roman" w:hAnsi="Times New Roman" w:eastAsia="宋体"/>
                <w:sz w:val="28"/>
                <w:szCs w:val="28"/>
              </w:rPr>
            </w:pPr>
            <w:r>
              <w:rPr>
                <w:rFonts w:ascii="Times New Roman" w:hAnsi="Times New Roman" w:eastAsia="宋体"/>
                <w:sz w:val="28"/>
                <w:szCs w:val="28"/>
              </w:rPr>
              <w:t>Provide 1000 sets of data storage space and support USB flash drive storage</w:t>
            </w:r>
          </w:p>
        </w:tc>
      </w:tr>
      <w:tr w14:paraId="7647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64CD42ED">
            <w:pPr>
              <w:widowControl w:val="0"/>
              <w:jc w:val="both"/>
              <w:rPr>
                <w:rFonts w:ascii="Times New Roman" w:hAnsi="Times New Roman" w:eastAsia="宋体"/>
                <w:sz w:val="28"/>
                <w:szCs w:val="28"/>
              </w:rPr>
            </w:pPr>
            <w:r>
              <w:rPr>
                <w:rFonts w:ascii="Times New Roman" w:hAnsi="Times New Roman" w:eastAsia="宋体"/>
                <w:sz w:val="28"/>
                <w:szCs w:val="28"/>
              </w:rPr>
              <w:t>Sensitivity</w:t>
            </w:r>
          </w:p>
        </w:tc>
        <w:tc>
          <w:tcPr>
            <w:tcW w:w="5103" w:type="dxa"/>
          </w:tcPr>
          <w:p w14:paraId="13DD321C">
            <w:pPr>
              <w:widowControl w:val="0"/>
              <w:jc w:val="both"/>
              <w:rPr>
                <w:rFonts w:ascii="Times New Roman" w:hAnsi="Times New Roman" w:eastAsia="宋体"/>
                <w:sz w:val="28"/>
                <w:szCs w:val="28"/>
              </w:rPr>
            </w:pPr>
            <w:r>
              <w:rPr>
                <w:rFonts w:ascii="Times New Roman" w:hAnsi="Times New Roman" w:eastAsia="宋体"/>
                <w:sz w:val="28"/>
                <w:szCs w:val="28"/>
              </w:rPr>
              <w:t>0.8μm or 4μm（c)</w:t>
            </w:r>
          </w:p>
        </w:tc>
      </w:tr>
      <w:tr w14:paraId="4D04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41940EE8">
            <w:pPr>
              <w:widowControl w:val="0"/>
              <w:jc w:val="both"/>
              <w:rPr>
                <w:rFonts w:ascii="Times New Roman" w:hAnsi="Times New Roman" w:eastAsia="宋体"/>
                <w:sz w:val="28"/>
                <w:szCs w:val="28"/>
              </w:rPr>
            </w:pPr>
            <w:r>
              <w:rPr>
                <w:rFonts w:ascii="Times New Roman" w:hAnsi="Times New Roman" w:eastAsia="宋体"/>
                <w:sz w:val="28"/>
                <w:szCs w:val="28"/>
              </w:rPr>
              <w:t>Limit coincidence error</w:t>
            </w:r>
          </w:p>
        </w:tc>
        <w:tc>
          <w:tcPr>
            <w:tcW w:w="5103" w:type="dxa"/>
          </w:tcPr>
          <w:p w14:paraId="40898FDC">
            <w:pPr>
              <w:widowControl w:val="0"/>
              <w:jc w:val="both"/>
              <w:rPr>
                <w:rFonts w:ascii="Times New Roman" w:hAnsi="Times New Roman" w:eastAsia="宋体"/>
                <w:sz w:val="28"/>
                <w:szCs w:val="28"/>
              </w:rPr>
            </w:pPr>
            <w:r>
              <w:rPr>
                <w:rFonts w:ascii="Times New Roman" w:hAnsi="Times New Roman" w:eastAsia="宋体"/>
                <w:sz w:val="28"/>
                <w:szCs w:val="28"/>
              </w:rPr>
              <w:t>40000 capsules/ml</w:t>
            </w:r>
          </w:p>
        </w:tc>
      </w:tr>
      <w:tr w14:paraId="411D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49492FAD">
            <w:pPr>
              <w:widowControl w:val="0"/>
              <w:jc w:val="both"/>
              <w:rPr>
                <w:rFonts w:ascii="Times New Roman" w:hAnsi="Times New Roman" w:eastAsia="宋体"/>
                <w:sz w:val="28"/>
                <w:szCs w:val="28"/>
              </w:rPr>
            </w:pPr>
            <w:r>
              <w:rPr>
                <w:rFonts w:ascii="Times New Roman" w:hAnsi="Times New Roman" w:eastAsia="宋体"/>
                <w:sz w:val="28"/>
                <w:szCs w:val="28"/>
              </w:rPr>
              <w:t>Counting volume</w:t>
            </w:r>
          </w:p>
        </w:tc>
        <w:tc>
          <w:tcPr>
            <w:tcW w:w="5103" w:type="dxa"/>
          </w:tcPr>
          <w:p w14:paraId="34DF51AE">
            <w:pPr>
              <w:widowControl w:val="0"/>
              <w:jc w:val="both"/>
              <w:rPr>
                <w:rFonts w:ascii="Times New Roman" w:hAnsi="Times New Roman" w:eastAsia="宋体"/>
                <w:sz w:val="28"/>
                <w:szCs w:val="28"/>
              </w:rPr>
            </w:pPr>
            <w:r>
              <w:rPr>
                <w:rFonts w:ascii="Times New Roman" w:hAnsi="Times New Roman" w:eastAsia="宋体"/>
                <w:sz w:val="28"/>
                <w:szCs w:val="28"/>
              </w:rPr>
              <w:t>1-999ml</w:t>
            </w:r>
          </w:p>
        </w:tc>
      </w:tr>
      <w:tr w14:paraId="0963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7C304E8F">
            <w:pPr>
              <w:widowControl w:val="0"/>
              <w:jc w:val="both"/>
              <w:rPr>
                <w:rFonts w:ascii="Times New Roman" w:hAnsi="Times New Roman" w:eastAsia="宋体"/>
                <w:sz w:val="28"/>
                <w:szCs w:val="28"/>
              </w:rPr>
            </w:pPr>
            <w:r>
              <w:rPr>
                <w:rFonts w:ascii="Times New Roman" w:hAnsi="Times New Roman" w:eastAsia="宋体"/>
                <w:sz w:val="28"/>
                <w:szCs w:val="28"/>
              </w:rPr>
              <w:t>Counting accuracy</w:t>
            </w:r>
          </w:p>
        </w:tc>
        <w:tc>
          <w:tcPr>
            <w:tcW w:w="5103" w:type="dxa"/>
          </w:tcPr>
          <w:p w14:paraId="71050260">
            <w:pPr>
              <w:widowControl w:val="0"/>
              <w:jc w:val="both"/>
              <w:rPr>
                <w:rFonts w:ascii="Times New Roman" w:hAnsi="Times New Roman" w:eastAsia="宋体"/>
                <w:sz w:val="28"/>
                <w:szCs w:val="28"/>
              </w:rPr>
            </w:pPr>
            <w:r>
              <w:rPr>
                <w:rFonts w:ascii="Times New Roman" w:hAnsi="Times New Roman" w:eastAsia="宋体"/>
                <w:sz w:val="28"/>
                <w:szCs w:val="28"/>
              </w:rPr>
              <w:t>Error less than±10%</w:t>
            </w:r>
          </w:p>
        </w:tc>
      </w:tr>
      <w:tr w14:paraId="30BE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37B1A2D3">
            <w:pPr>
              <w:widowControl w:val="0"/>
              <w:jc w:val="both"/>
              <w:rPr>
                <w:rFonts w:ascii="Times New Roman" w:hAnsi="Times New Roman" w:eastAsia="宋体"/>
                <w:sz w:val="28"/>
                <w:szCs w:val="28"/>
              </w:rPr>
            </w:pPr>
            <w:r>
              <w:rPr>
                <w:rFonts w:ascii="Times New Roman" w:hAnsi="Times New Roman" w:eastAsia="宋体"/>
                <w:sz w:val="28"/>
                <w:szCs w:val="28"/>
              </w:rPr>
              <w:t>Protection level</w:t>
            </w:r>
          </w:p>
        </w:tc>
        <w:tc>
          <w:tcPr>
            <w:tcW w:w="5103" w:type="dxa"/>
          </w:tcPr>
          <w:p w14:paraId="5F397509">
            <w:pPr>
              <w:widowControl w:val="0"/>
              <w:jc w:val="both"/>
              <w:rPr>
                <w:rFonts w:ascii="Times New Roman" w:hAnsi="Times New Roman" w:eastAsia="宋体"/>
                <w:sz w:val="28"/>
                <w:szCs w:val="28"/>
              </w:rPr>
            </w:pPr>
            <w:r>
              <w:rPr>
                <w:rFonts w:ascii="Times New Roman" w:hAnsi="Times New Roman" w:eastAsia="宋体"/>
                <w:sz w:val="28"/>
                <w:szCs w:val="28"/>
              </w:rPr>
              <w:t>IP67</w:t>
            </w:r>
          </w:p>
        </w:tc>
      </w:tr>
      <w:tr w14:paraId="5787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7F86EE58">
            <w:pPr>
              <w:widowControl w:val="0"/>
              <w:jc w:val="both"/>
              <w:rPr>
                <w:rFonts w:ascii="Times New Roman" w:hAnsi="Times New Roman" w:eastAsia="宋体"/>
                <w:sz w:val="28"/>
                <w:szCs w:val="28"/>
              </w:rPr>
            </w:pPr>
            <w:r>
              <w:rPr>
                <w:rFonts w:ascii="Times New Roman" w:hAnsi="Times New Roman" w:eastAsia="宋体"/>
                <w:sz w:val="28"/>
                <w:szCs w:val="28"/>
              </w:rPr>
              <w:t>Test interval</w:t>
            </w:r>
          </w:p>
        </w:tc>
        <w:tc>
          <w:tcPr>
            <w:tcW w:w="5103" w:type="dxa"/>
          </w:tcPr>
          <w:p w14:paraId="7619A3B4">
            <w:pPr>
              <w:widowControl w:val="0"/>
              <w:jc w:val="both"/>
              <w:rPr>
                <w:rFonts w:ascii="Times New Roman" w:hAnsi="Times New Roman" w:eastAsia="宋体"/>
                <w:sz w:val="28"/>
                <w:szCs w:val="28"/>
              </w:rPr>
            </w:pPr>
            <w:r>
              <w:rPr>
                <w:rFonts w:ascii="Times New Roman" w:hAnsi="Times New Roman" w:eastAsia="宋体"/>
                <w:sz w:val="28"/>
                <w:szCs w:val="28"/>
              </w:rPr>
              <w:t>1 second to 24 hours时</w:t>
            </w:r>
          </w:p>
        </w:tc>
      </w:tr>
      <w:tr w14:paraId="0B4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25B56949">
            <w:pPr>
              <w:widowControl w:val="0"/>
              <w:jc w:val="both"/>
              <w:rPr>
                <w:rFonts w:ascii="Times New Roman" w:hAnsi="Times New Roman" w:eastAsia="宋体"/>
                <w:sz w:val="28"/>
                <w:szCs w:val="28"/>
              </w:rPr>
            </w:pPr>
            <w:r>
              <w:rPr>
                <w:rFonts w:ascii="Times New Roman" w:hAnsi="Times New Roman" w:eastAsia="宋体"/>
                <w:sz w:val="28"/>
                <w:szCs w:val="28"/>
              </w:rPr>
              <w:t>Test sample temperature</w:t>
            </w:r>
          </w:p>
        </w:tc>
        <w:tc>
          <w:tcPr>
            <w:tcW w:w="5103" w:type="dxa"/>
          </w:tcPr>
          <w:p w14:paraId="67ADEFD9">
            <w:pPr>
              <w:widowControl w:val="0"/>
              <w:jc w:val="both"/>
              <w:rPr>
                <w:rFonts w:ascii="Times New Roman" w:hAnsi="Times New Roman" w:eastAsia="宋体"/>
                <w:sz w:val="28"/>
                <w:szCs w:val="28"/>
              </w:rPr>
            </w:pPr>
            <w:r>
              <w:rPr>
                <w:rFonts w:ascii="Times New Roman" w:hAnsi="Times New Roman" w:eastAsia="宋体"/>
                <w:sz w:val="28"/>
                <w:szCs w:val="28"/>
              </w:rPr>
              <w:t>0-80</w:t>
            </w:r>
            <w:r>
              <w:rPr>
                <w:rFonts w:ascii="Times New Roman" w:hAnsi="宋体" w:eastAsia="宋体"/>
                <w:sz w:val="28"/>
                <w:szCs w:val="28"/>
              </w:rPr>
              <w:t>℃</w:t>
            </w:r>
          </w:p>
        </w:tc>
      </w:tr>
      <w:tr w14:paraId="5ACE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0D86F77A">
            <w:pPr>
              <w:widowControl w:val="0"/>
              <w:jc w:val="both"/>
              <w:rPr>
                <w:rFonts w:ascii="Times New Roman" w:hAnsi="Times New Roman" w:eastAsia="宋体"/>
                <w:sz w:val="28"/>
                <w:szCs w:val="28"/>
              </w:rPr>
            </w:pPr>
            <w:r>
              <w:rPr>
                <w:rFonts w:ascii="Times New Roman" w:hAnsi="Times New Roman" w:eastAsia="宋体"/>
                <w:sz w:val="28"/>
                <w:szCs w:val="28"/>
              </w:rPr>
              <w:t>Reference value of Water activity</w:t>
            </w:r>
          </w:p>
        </w:tc>
        <w:tc>
          <w:tcPr>
            <w:tcW w:w="5103" w:type="dxa"/>
          </w:tcPr>
          <w:p w14:paraId="2C63BDD7">
            <w:pPr>
              <w:widowControl w:val="0"/>
              <w:jc w:val="both"/>
              <w:rPr>
                <w:rFonts w:ascii="Times New Roman" w:hAnsi="Times New Roman" w:eastAsia="宋体"/>
                <w:sz w:val="28"/>
                <w:szCs w:val="28"/>
              </w:rPr>
            </w:pPr>
            <w:r>
              <w:rPr>
                <w:rFonts w:ascii="Times New Roman" w:hAnsi="Times New Roman" w:eastAsia="宋体"/>
                <w:sz w:val="28"/>
                <w:szCs w:val="28"/>
              </w:rPr>
              <w:t>0-1aw（±0.05aw）</w:t>
            </w:r>
          </w:p>
        </w:tc>
      </w:tr>
      <w:tr w14:paraId="21C2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1F3448FF">
            <w:pPr>
              <w:widowControl w:val="0"/>
              <w:jc w:val="both"/>
              <w:rPr>
                <w:rFonts w:ascii="Times New Roman" w:hAnsi="Times New Roman" w:eastAsia="宋体"/>
                <w:sz w:val="28"/>
                <w:szCs w:val="28"/>
              </w:rPr>
            </w:pPr>
            <w:r>
              <w:rPr>
                <w:rFonts w:ascii="Times New Roman" w:hAnsi="Times New Roman" w:eastAsia="宋体"/>
                <w:sz w:val="28"/>
                <w:szCs w:val="28"/>
              </w:rPr>
              <w:t>water content</w:t>
            </w:r>
          </w:p>
        </w:tc>
        <w:tc>
          <w:tcPr>
            <w:tcW w:w="5103" w:type="dxa"/>
          </w:tcPr>
          <w:p w14:paraId="5C323035">
            <w:pPr>
              <w:widowControl w:val="0"/>
              <w:jc w:val="both"/>
              <w:rPr>
                <w:rFonts w:ascii="Times New Roman" w:hAnsi="Times New Roman" w:eastAsia="宋体"/>
                <w:sz w:val="28"/>
                <w:szCs w:val="28"/>
              </w:rPr>
            </w:pPr>
            <w:r>
              <w:rPr>
                <w:rFonts w:ascii="Times New Roman" w:hAnsi="Times New Roman" w:eastAsia="宋体"/>
                <w:sz w:val="28"/>
                <w:szCs w:val="28"/>
              </w:rPr>
              <w:t>0-360ppm（±10%）</w:t>
            </w:r>
          </w:p>
        </w:tc>
      </w:tr>
      <w:tr w14:paraId="1F09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7905FDCB">
            <w:pPr>
              <w:widowControl w:val="0"/>
              <w:jc w:val="both"/>
              <w:rPr>
                <w:rFonts w:ascii="Times New Roman" w:hAnsi="Times New Roman" w:eastAsia="宋体"/>
                <w:sz w:val="28"/>
                <w:szCs w:val="28"/>
              </w:rPr>
            </w:pPr>
            <w:r>
              <w:rPr>
                <w:rFonts w:ascii="Times New Roman" w:hAnsi="Times New Roman" w:eastAsia="宋体"/>
                <w:sz w:val="28"/>
                <w:szCs w:val="28"/>
              </w:rPr>
              <w:t>working temperature</w:t>
            </w:r>
          </w:p>
        </w:tc>
        <w:tc>
          <w:tcPr>
            <w:tcW w:w="5103" w:type="dxa"/>
          </w:tcPr>
          <w:p w14:paraId="06625508">
            <w:pPr>
              <w:widowControl w:val="0"/>
              <w:jc w:val="both"/>
              <w:rPr>
                <w:rFonts w:ascii="Times New Roman" w:hAnsi="Times New Roman" w:eastAsia="宋体"/>
                <w:sz w:val="28"/>
                <w:szCs w:val="28"/>
              </w:rPr>
            </w:pPr>
            <w:r>
              <w:rPr>
                <w:rFonts w:ascii="Times New Roman" w:hAnsi="Times New Roman" w:eastAsia="宋体"/>
                <w:sz w:val="28"/>
                <w:szCs w:val="28"/>
              </w:rPr>
              <w:t>-20-60</w:t>
            </w:r>
            <w:r>
              <w:rPr>
                <w:rFonts w:ascii="Times New Roman" w:hAnsi="宋体" w:eastAsia="宋体"/>
                <w:sz w:val="28"/>
                <w:szCs w:val="28"/>
              </w:rPr>
              <w:t>℃</w:t>
            </w:r>
          </w:p>
        </w:tc>
      </w:tr>
      <w:tr w14:paraId="6365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7A79A5AB">
            <w:pPr>
              <w:widowControl w:val="0"/>
              <w:jc w:val="both"/>
              <w:rPr>
                <w:rFonts w:ascii="Times New Roman" w:hAnsi="Times New Roman" w:eastAsia="宋体"/>
                <w:sz w:val="28"/>
                <w:szCs w:val="28"/>
              </w:rPr>
            </w:pPr>
            <w:r>
              <w:rPr>
                <w:rFonts w:ascii="Times New Roman" w:hAnsi="Times New Roman" w:eastAsia="宋体"/>
                <w:sz w:val="28"/>
                <w:szCs w:val="28"/>
              </w:rPr>
              <w:t>Power supply</w:t>
            </w:r>
          </w:p>
        </w:tc>
        <w:tc>
          <w:tcPr>
            <w:tcW w:w="5103" w:type="dxa"/>
          </w:tcPr>
          <w:p w14:paraId="398BD89E">
            <w:pPr>
              <w:widowControl w:val="0"/>
              <w:jc w:val="both"/>
              <w:rPr>
                <w:rFonts w:ascii="Times New Roman" w:hAnsi="Times New Roman" w:eastAsia="宋体"/>
                <w:sz w:val="28"/>
                <w:szCs w:val="28"/>
              </w:rPr>
            </w:pPr>
            <w:r>
              <w:rPr>
                <w:rFonts w:ascii="Times New Roman" w:hAnsi="Times New Roman" w:eastAsia="宋体"/>
                <w:sz w:val="28"/>
                <w:szCs w:val="28"/>
              </w:rPr>
              <w:t xml:space="preserve"> DC12V</w:t>
            </w:r>
          </w:p>
        </w:tc>
      </w:tr>
      <w:tr w14:paraId="1356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2AA8D2C5">
            <w:pPr>
              <w:widowControl w:val="0"/>
              <w:jc w:val="both"/>
              <w:rPr>
                <w:rFonts w:ascii="Times New Roman" w:hAnsi="Times New Roman" w:eastAsia="宋体"/>
                <w:sz w:val="28"/>
                <w:szCs w:val="28"/>
              </w:rPr>
            </w:pPr>
            <w:r>
              <w:rPr>
                <w:rFonts w:ascii="Times New Roman" w:hAnsi="Times New Roman" w:eastAsia="宋体"/>
                <w:sz w:val="28"/>
                <w:szCs w:val="28"/>
              </w:rPr>
              <w:t>Screen size</w:t>
            </w:r>
          </w:p>
        </w:tc>
        <w:tc>
          <w:tcPr>
            <w:tcW w:w="5103" w:type="dxa"/>
          </w:tcPr>
          <w:p w14:paraId="32A3B440">
            <w:pPr>
              <w:widowControl w:val="0"/>
              <w:jc w:val="both"/>
              <w:rPr>
                <w:rFonts w:ascii="Times New Roman" w:hAnsi="Times New Roman" w:eastAsia="宋体"/>
                <w:sz w:val="28"/>
                <w:szCs w:val="28"/>
              </w:rPr>
            </w:pPr>
            <w:r>
              <w:rPr>
                <w:rFonts w:ascii="Times New Roman" w:hAnsi="Times New Roman" w:eastAsia="宋体"/>
                <w:sz w:val="28"/>
                <w:szCs w:val="28"/>
              </w:rPr>
              <w:t>10.2 inches</w:t>
            </w:r>
          </w:p>
        </w:tc>
      </w:tr>
      <w:tr w14:paraId="27FD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28" w:type="dxa"/>
          </w:tcPr>
          <w:p w14:paraId="6475413E">
            <w:pPr>
              <w:widowControl w:val="0"/>
              <w:jc w:val="both"/>
              <w:rPr>
                <w:rFonts w:ascii="Times New Roman" w:hAnsi="Times New Roman" w:eastAsia="宋体"/>
                <w:sz w:val="28"/>
                <w:szCs w:val="28"/>
              </w:rPr>
            </w:pPr>
            <w:r>
              <w:rPr>
                <w:rFonts w:ascii="Times New Roman" w:hAnsi="Times New Roman" w:eastAsia="宋体"/>
                <w:sz w:val="28"/>
                <w:szCs w:val="28"/>
              </w:rPr>
              <w:t>Battery capacity</w:t>
            </w:r>
          </w:p>
        </w:tc>
        <w:tc>
          <w:tcPr>
            <w:tcW w:w="5103" w:type="dxa"/>
          </w:tcPr>
          <w:p w14:paraId="3C93BEA6">
            <w:pPr>
              <w:widowControl w:val="0"/>
              <w:jc w:val="both"/>
              <w:rPr>
                <w:rFonts w:ascii="Times New Roman" w:hAnsi="Times New Roman" w:eastAsia="宋体"/>
                <w:sz w:val="28"/>
                <w:szCs w:val="28"/>
              </w:rPr>
            </w:pPr>
            <w:r>
              <w:rPr>
                <w:rFonts w:ascii="Times New Roman" w:hAnsi="Times New Roman" w:eastAsia="宋体"/>
                <w:sz w:val="28"/>
                <w:szCs w:val="28"/>
              </w:rPr>
              <w:t>8000mAh</w:t>
            </w:r>
          </w:p>
        </w:tc>
      </w:tr>
      <w:tr w14:paraId="2896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0031" w:type="dxa"/>
            <w:gridSpan w:val="2"/>
          </w:tcPr>
          <w:p w14:paraId="098139E3">
            <w:pPr>
              <w:widowControl w:val="0"/>
              <w:jc w:val="both"/>
              <w:rPr>
                <w:rFonts w:ascii="Times New Roman" w:hAnsi="Times New Roman" w:eastAsia="宋体"/>
                <w:sz w:val="28"/>
                <w:szCs w:val="28"/>
              </w:rPr>
            </w:pPr>
            <w:r>
              <w:rPr>
                <w:rFonts w:ascii="Times New Roman" w:hAnsi="Times New Roman" w:eastAsia="宋体"/>
                <w:sz w:val="28"/>
                <w:szCs w:val="28"/>
              </w:rPr>
              <w:t>Size：365×295×170mm          Weight： 5.5kg</w:t>
            </w:r>
          </w:p>
        </w:tc>
      </w:tr>
    </w:tbl>
    <w:p w14:paraId="5C47B68E">
      <w:pPr>
        <w:rPr>
          <w:rFonts w:ascii="Times New Roman" w:hAnsi="Times New Roman"/>
          <w:sz w:val="28"/>
          <w:szCs w:val="28"/>
        </w:rPr>
      </w:pPr>
    </w:p>
    <w:p w14:paraId="00111E74">
      <w:pPr>
        <w:spacing w:line="400" w:lineRule="exact"/>
        <w:ind w:firstLine="1606" w:firstLineChars="500"/>
        <w:rPr>
          <w:rFonts w:ascii="Times New Roman" w:hAnsi="Times New Roman"/>
          <w:b/>
          <w:bCs/>
          <w:sz w:val="32"/>
          <w:szCs w:val="28"/>
        </w:rPr>
      </w:pPr>
      <w:r>
        <w:rPr>
          <w:rFonts w:ascii="Times New Roman" w:hAnsi="Times New Roman"/>
          <w:b/>
          <w:bCs/>
          <w:sz w:val="32"/>
          <w:szCs w:val="28"/>
        </w:rPr>
        <w:t>BX-1</w:t>
      </w:r>
      <w:r>
        <w:rPr>
          <w:rFonts w:ascii="Times New Roman" w:hAnsi="Times New Roman"/>
          <w:sz w:val="32"/>
          <w:szCs w:val="28"/>
        </w:rPr>
        <w:t xml:space="preserve"> </w:t>
      </w:r>
      <w:r>
        <w:rPr>
          <w:rFonts w:ascii="Times New Roman" w:hAnsi="Times New Roman"/>
          <w:b/>
          <w:bCs/>
          <w:sz w:val="32"/>
          <w:szCs w:val="28"/>
        </w:rPr>
        <w:t>Portable pressure sampler (optional)</w:t>
      </w:r>
    </w:p>
    <w:p w14:paraId="3C7BDD2A">
      <w:pPr>
        <w:rPr>
          <w:rFonts w:ascii="Times New Roman" w:hAnsi="Times New Roman"/>
          <w:sz w:val="28"/>
          <w:szCs w:val="28"/>
        </w:rPr>
      </w:pPr>
      <w:r>
        <w:rPr>
          <w:rFonts w:ascii="Times New Roman" w:hAnsi="Times New Roman"/>
          <w:sz w:val="28"/>
          <w:szCs w:val="28"/>
        </w:rPr>
        <w:drawing>
          <wp:anchor distT="0" distB="0" distL="114300" distR="114300" simplePos="0" relativeHeight="251659264" behindDoc="1" locked="0" layoutInCell="1" allowOverlap="1">
            <wp:simplePos x="0" y="0"/>
            <wp:positionH relativeFrom="column">
              <wp:posOffset>2124075</wp:posOffset>
            </wp:positionH>
            <wp:positionV relativeFrom="paragraph">
              <wp:posOffset>162560</wp:posOffset>
            </wp:positionV>
            <wp:extent cx="1819275" cy="2247900"/>
            <wp:effectExtent l="19050" t="0" r="9525" b="0"/>
            <wp:wrapNone/>
            <wp:docPr id="3" name="图片 3" descr="BYQ-1便携式压力取样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YQ-1便携式压力取样器"/>
                    <pic:cNvPicPr>
                      <a:picLocks noChangeAspect="1"/>
                    </pic:cNvPicPr>
                  </pic:nvPicPr>
                  <pic:blipFill>
                    <a:blip r:embed="rId7" cstate="print"/>
                    <a:stretch>
                      <a:fillRect/>
                    </a:stretch>
                  </pic:blipFill>
                  <pic:spPr>
                    <a:xfrm>
                      <a:off x="0" y="0"/>
                      <a:ext cx="1819275" cy="2247900"/>
                    </a:xfrm>
                    <a:prstGeom prst="rect">
                      <a:avLst/>
                    </a:prstGeom>
                  </pic:spPr>
                </pic:pic>
              </a:graphicData>
            </a:graphic>
          </wp:anchor>
        </w:drawing>
      </w:r>
    </w:p>
    <w:p w14:paraId="6703F8C8">
      <w:pPr>
        <w:rPr>
          <w:rFonts w:ascii="Times New Roman" w:hAnsi="Times New Roman"/>
          <w:sz w:val="28"/>
          <w:szCs w:val="28"/>
        </w:rPr>
      </w:pPr>
    </w:p>
    <w:p w14:paraId="02B0A7ED">
      <w:pPr>
        <w:rPr>
          <w:rFonts w:ascii="Times New Roman" w:hAnsi="Times New Roman"/>
          <w:sz w:val="28"/>
          <w:szCs w:val="28"/>
        </w:rPr>
      </w:pPr>
    </w:p>
    <w:p w14:paraId="64FA76CB">
      <w:pPr>
        <w:spacing w:line="400" w:lineRule="exact"/>
        <w:jc w:val="center"/>
        <w:rPr>
          <w:rFonts w:ascii="Times New Roman" w:hAnsi="Times New Roman"/>
          <w:b/>
          <w:bCs/>
          <w:sz w:val="28"/>
          <w:szCs w:val="28"/>
        </w:rPr>
      </w:pPr>
    </w:p>
    <w:p w14:paraId="7C1A5297">
      <w:pPr>
        <w:spacing w:line="400" w:lineRule="exact"/>
        <w:jc w:val="center"/>
        <w:rPr>
          <w:rFonts w:ascii="Times New Roman" w:hAnsi="Times New Roman"/>
          <w:b/>
          <w:bCs/>
          <w:sz w:val="28"/>
          <w:szCs w:val="28"/>
        </w:rPr>
      </w:pPr>
    </w:p>
    <w:p w14:paraId="75B538D4">
      <w:pPr>
        <w:spacing w:line="400" w:lineRule="exact"/>
        <w:jc w:val="center"/>
        <w:rPr>
          <w:rFonts w:ascii="Times New Roman" w:hAnsi="Times New Roman"/>
          <w:b/>
          <w:bCs/>
          <w:sz w:val="28"/>
          <w:szCs w:val="28"/>
        </w:rPr>
      </w:pPr>
    </w:p>
    <w:p w14:paraId="4C52EE10">
      <w:pPr>
        <w:spacing w:line="400" w:lineRule="exact"/>
        <w:jc w:val="center"/>
        <w:rPr>
          <w:rFonts w:ascii="Times New Roman" w:hAnsi="Times New Roman"/>
          <w:b/>
          <w:bCs/>
          <w:sz w:val="28"/>
          <w:szCs w:val="28"/>
        </w:rPr>
      </w:pPr>
    </w:p>
    <w:p w14:paraId="3D97116B">
      <w:pPr>
        <w:spacing w:line="400" w:lineRule="exact"/>
        <w:jc w:val="center"/>
        <w:rPr>
          <w:rFonts w:ascii="Times New Roman" w:hAnsi="Times New Roman"/>
          <w:b/>
          <w:bCs/>
          <w:sz w:val="28"/>
          <w:szCs w:val="28"/>
        </w:rPr>
      </w:pPr>
    </w:p>
    <w:p w14:paraId="493FAD27">
      <w:pPr>
        <w:spacing w:line="400" w:lineRule="exact"/>
        <w:jc w:val="center"/>
        <w:rPr>
          <w:rFonts w:ascii="Times New Roman" w:hAnsi="Times New Roman"/>
          <w:b/>
          <w:bCs/>
          <w:sz w:val="28"/>
          <w:szCs w:val="28"/>
        </w:rPr>
      </w:pPr>
    </w:p>
    <w:p w14:paraId="0CDD1D75">
      <w:pPr>
        <w:spacing w:line="400" w:lineRule="exact"/>
        <w:jc w:val="center"/>
        <w:rPr>
          <w:rFonts w:ascii="Times New Roman" w:hAnsi="Times New Roman"/>
          <w:b/>
          <w:bCs/>
          <w:sz w:val="28"/>
          <w:szCs w:val="28"/>
        </w:rPr>
      </w:pPr>
    </w:p>
    <w:p w14:paraId="030C2672">
      <w:pPr>
        <w:spacing w:line="360" w:lineRule="auto"/>
        <w:ind w:firstLine="420" w:firstLineChars="150"/>
        <w:rPr>
          <w:rFonts w:ascii="Times New Roman" w:hAnsi="Times New Roman"/>
          <w:bCs/>
          <w:sz w:val="28"/>
          <w:szCs w:val="28"/>
        </w:rPr>
      </w:pPr>
      <w:r>
        <w:rPr>
          <w:rFonts w:ascii="Times New Roman" w:hAnsi="Times New Roman"/>
          <w:bCs/>
          <w:sz w:val="28"/>
          <w:szCs w:val="28"/>
        </w:rPr>
        <w:t>The BX-1 Portable Pressure Sampler is a device used to assist in the sampling of high viscosity samples, which can be used to assist in the sampling of portable oil particle counters. The pressure sampler has a built-in pressure pump that can directly switch between positive and negative pressures, and can store and maintain pressure for a long time. It has the advantages of reliable structure and stable performance. BYQ-1 portable pressure sampler is easy to operate, has a wide pressure range, and is widely used.</w:t>
      </w:r>
    </w:p>
    <w:p w14:paraId="60A205EC">
      <w:pPr>
        <w:spacing w:line="400" w:lineRule="exact"/>
        <w:rPr>
          <w:rFonts w:ascii="Times New Roman" w:hAnsi="Times New Roman"/>
          <w:b/>
          <w:bCs/>
          <w:sz w:val="28"/>
          <w:szCs w:val="28"/>
        </w:rPr>
      </w:pPr>
      <w:r>
        <w:rPr>
          <w:rFonts w:ascii="Times New Roman" w:hAnsi="Times New Roman"/>
          <w:b/>
          <w:bCs/>
          <w:sz w:val="28"/>
          <w:szCs w:val="28"/>
        </w:rPr>
        <w:t>Performance characteristics</w:t>
      </w:r>
    </w:p>
    <w:p w14:paraId="5512F7FF">
      <w:pPr>
        <w:spacing w:line="400" w:lineRule="exact"/>
        <w:rPr>
          <w:rFonts w:ascii="Times New Roman" w:hAnsi="Times New Roman"/>
          <w:bCs/>
          <w:sz w:val="28"/>
          <w:szCs w:val="28"/>
        </w:rPr>
      </w:pPr>
    </w:p>
    <w:p w14:paraId="6798D778">
      <w:pPr>
        <w:pStyle w:val="10"/>
        <w:numPr>
          <w:ilvl w:val="0"/>
          <w:numId w:val="2"/>
        </w:numPr>
        <w:spacing w:line="360" w:lineRule="auto"/>
        <w:ind w:firstLineChars="0"/>
        <w:rPr>
          <w:rFonts w:ascii="Times New Roman" w:hAnsi="Times New Roman"/>
          <w:bCs/>
          <w:sz w:val="28"/>
          <w:szCs w:val="28"/>
        </w:rPr>
      </w:pPr>
      <w:r>
        <w:rPr>
          <w:rFonts w:ascii="Times New Roman" w:hAnsi="Times New Roman"/>
          <w:bCs/>
          <w:sz w:val="28"/>
          <w:szCs w:val="28"/>
        </w:rPr>
        <w:t>Built-in pressure pump, fast pressure boosting speed;</w:t>
      </w:r>
    </w:p>
    <w:p w14:paraId="13FD9770">
      <w:pPr>
        <w:pStyle w:val="10"/>
        <w:numPr>
          <w:ilvl w:val="0"/>
          <w:numId w:val="2"/>
        </w:numPr>
        <w:spacing w:line="360" w:lineRule="auto"/>
        <w:ind w:firstLineChars="0"/>
        <w:rPr>
          <w:rFonts w:ascii="Times New Roman" w:hAnsi="Times New Roman"/>
          <w:bCs/>
          <w:sz w:val="28"/>
          <w:szCs w:val="28"/>
        </w:rPr>
      </w:pPr>
      <w:r>
        <w:rPr>
          <w:rFonts w:ascii="Times New Roman" w:hAnsi="Times New Roman"/>
          <w:bCs/>
          <w:sz w:val="28"/>
          <w:szCs w:val="28"/>
        </w:rPr>
        <w:t>Positive and negative pressure can be switched, with strong pressure retaining ability;</w:t>
      </w:r>
    </w:p>
    <w:p w14:paraId="3E155256">
      <w:pPr>
        <w:pStyle w:val="10"/>
        <w:numPr>
          <w:ilvl w:val="0"/>
          <w:numId w:val="2"/>
        </w:numPr>
        <w:spacing w:line="360" w:lineRule="auto"/>
        <w:ind w:firstLineChars="0"/>
        <w:rPr>
          <w:rFonts w:ascii="Times New Roman" w:hAnsi="Times New Roman"/>
          <w:bCs/>
          <w:sz w:val="28"/>
          <w:szCs w:val="28"/>
        </w:rPr>
      </w:pPr>
      <w:r>
        <w:rPr>
          <w:rFonts w:ascii="Times New Roman" w:hAnsi="Times New Roman"/>
          <w:bCs/>
          <w:sz w:val="28"/>
          <w:szCs w:val="28"/>
        </w:rPr>
        <w:t>Can assist in the injection of high viscosity oil samples, improving the viscosity of samples detected by portable particle counters;</w:t>
      </w:r>
    </w:p>
    <w:p w14:paraId="054B3285">
      <w:pPr>
        <w:pStyle w:val="10"/>
        <w:numPr>
          <w:ilvl w:val="0"/>
          <w:numId w:val="2"/>
        </w:numPr>
        <w:spacing w:line="360" w:lineRule="auto"/>
        <w:ind w:firstLineChars="0"/>
        <w:rPr>
          <w:rFonts w:ascii="Times New Roman" w:hAnsi="Times New Roman"/>
          <w:bCs/>
          <w:sz w:val="28"/>
          <w:szCs w:val="28"/>
        </w:rPr>
      </w:pPr>
      <w:r>
        <w:rPr>
          <w:rFonts w:ascii="Times New Roman" w:hAnsi="Times New Roman"/>
          <w:bCs/>
          <w:sz w:val="28"/>
          <w:szCs w:val="28"/>
        </w:rPr>
        <w:t>Built-in pressure sensor, arbitrary setting of pressure values, high degree of intelligence;</w:t>
      </w:r>
    </w:p>
    <w:p w14:paraId="56B24D7C">
      <w:pPr>
        <w:pStyle w:val="10"/>
        <w:numPr>
          <w:ilvl w:val="0"/>
          <w:numId w:val="2"/>
        </w:numPr>
        <w:spacing w:line="360" w:lineRule="auto"/>
        <w:ind w:firstLineChars="0"/>
        <w:rPr>
          <w:rFonts w:ascii="Times New Roman" w:hAnsi="Times New Roman"/>
          <w:bCs/>
          <w:sz w:val="28"/>
          <w:szCs w:val="28"/>
        </w:rPr>
      </w:pPr>
      <w:r>
        <w:rPr>
          <w:rFonts w:ascii="Times New Roman" w:hAnsi="Times New Roman"/>
          <w:bCs/>
          <w:sz w:val="28"/>
          <w:szCs w:val="28"/>
        </w:rPr>
        <w:t>Mechanical and computer models available for selection;</w:t>
      </w:r>
    </w:p>
    <w:p w14:paraId="16E93663">
      <w:pPr>
        <w:pStyle w:val="10"/>
        <w:numPr>
          <w:ilvl w:val="0"/>
          <w:numId w:val="2"/>
        </w:numPr>
        <w:spacing w:line="360" w:lineRule="auto"/>
        <w:ind w:firstLineChars="0"/>
        <w:rPr>
          <w:rFonts w:ascii="Times New Roman" w:hAnsi="Times New Roman"/>
          <w:bCs/>
          <w:sz w:val="28"/>
          <w:szCs w:val="28"/>
        </w:rPr>
      </w:pPr>
      <w:r>
        <w:rPr>
          <w:rFonts w:ascii="Times New Roman" w:hAnsi="Times New Roman"/>
          <w:bCs/>
          <w:sz w:val="28"/>
          <w:szCs w:val="28"/>
        </w:rPr>
        <w:t>Compact structure, small size, light weight, and easy to carry.</w:t>
      </w:r>
    </w:p>
    <w:p w14:paraId="787F3CC7">
      <w:pPr>
        <w:spacing w:line="360" w:lineRule="auto"/>
        <w:rPr>
          <w:rFonts w:ascii="Times New Roman" w:hAnsi="Times New Roman"/>
          <w:bCs/>
          <w:sz w:val="28"/>
          <w:szCs w:val="28"/>
        </w:rPr>
      </w:pPr>
    </w:p>
    <w:p w14:paraId="741FDD6D">
      <w:pPr>
        <w:spacing w:line="360" w:lineRule="auto"/>
        <w:rPr>
          <w:rFonts w:ascii="Times New Roman" w:hAnsi="Times New Roman"/>
          <w:b/>
          <w:bCs/>
          <w:sz w:val="28"/>
          <w:szCs w:val="28"/>
        </w:rPr>
      </w:pPr>
      <w:r>
        <w:rPr>
          <w:rFonts w:ascii="Times New Roman" w:hAnsi="Times New Roman"/>
          <w:b/>
          <w:bCs/>
          <w:sz w:val="28"/>
          <w:szCs w:val="28"/>
        </w:rPr>
        <w:t>Technical indicators</w:t>
      </w:r>
    </w:p>
    <w:p w14:paraId="55A505BF">
      <w:pPr>
        <w:pStyle w:val="10"/>
        <w:numPr>
          <w:ilvl w:val="0"/>
          <w:numId w:val="3"/>
        </w:numPr>
        <w:spacing w:line="360" w:lineRule="auto"/>
        <w:ind w:firstLineChars="0"/>
        <w:rPr>
          <w:rFonts w:ascii="Times New Roman" w:hAnsi="Times New Roman"/>
          <w:bCs/>
          <w:sz w:val="28"/>
          <w:szCs w:val="28"/>
        </w:rPr>
      </w:pPr>
      <w:r>
        <w:rPr>
          <w:rFonts w:ascii="Times New Roman" w:hAnsi="Times New Roman"/>
          <w:bCs/>
          <w:sz w:val="28"/>
          <w:szCs w:val="28"/>
        </w:rPr>
        <w:t>Positive pressure range: 0-600kPa</w:t>
      </w:r>
    </w:p>
    <w:p w14:paraId="7BB9E7A9">
      <w:pPr>
        <w:pStyle w:val="10"/>
        <w:numPr>
          <w:ilvl w:val="0"/>
          <w:numId w:val="3"/>
        </w:numPr>
        <w:spacing w:line="360" w:lineRule="auto"/>
        <w:ind w:firstLineChars="0"/>
        <w:rPr>
          <w:rFonts w:ascii="Times New Roman" w:hAnsi="Times New Roman"/>
          <w:bCs/>
          <w:sz w:val="28"/>
          <w:szCs w:val="28"/>
        </w:rPr>
      </w:pPr>
      <w:r>
        <w:rPr>
          <w:rFonts w:ascii="Times New Roman" w:hAnsi="Times New Roman"/>
          <w:bCs/>
          <w:sz w:val="28"/>
          <w:szCs w:val="28"/>
        </w:rPr>
        <w:t>Negative pressure range: 0-80kPa</w:t>
      </w:r>
    </w:p>
    <w:p w14:paraId="2557AE63">
      <w:pPr>
        <w:pStyle w:val="10"/>
        <w:numPr>
          <w:ilvl w:val="0"/>
          <w:numId w:val="3"/>
        </w:numPr>
        <w:spacing w:line="360" w:lineRule="auto"/>
        <w:ind w:firstLineChars="0"/>
        <w:rPr>
          <w:rFonts w:ascii="Times New Roman" w:hAnsi="Times New Roman"/>
          <w:bCs/>
          <w:sz w:val="28"/>
          <w:szCs w:val="28"/>
        </w:rPr>
      </w:pPr>
      <w:r>
        <w:rPr>
          <w:rFonts w:ascii="Times New Roman" w:hAnsi="Times New Roman"/>
          <w:bCs/>
          <w:sz w:val="28"/>
          <w:szCs w:val="28"/>
        </w:rPr>
        <w:t xml:space="preserve">Working temperature: 10~40 </w:t>
      </w:r>
      <w:r>
        <w:rPr>
          <w:rFonts w:ascii="Times New Roman" w:hAnsi="宋体" w:eastAsia="宋体"/>
          <w:bCs/>
          <w:sz w:val="28"/>
          <w:szCs w:val="28"/>
        </w:rPr>
        <w:t>℃</w:t>
      </w:r>
    </w:p>
    <w:p w14:paraId="606AAADB">
      <w:pPr>
        <w:pStyle w:val="10"/>
        <w:numPr>
          <w:ilvl w:val="0"/>
          <w:numId w:val="3"/>
        </w:numPr>
        <w:spacing w:line="360" w:lineRule="auto"/>
        <w:ind w:firstLineChars="0"/>
        <w:rPr>
          <w:rFonts w:ascii="Times New Roman" w:hAnsi="Times New Roman"/>
          <w:bCs/>
          <w:sz w:val="28"/>
          <w:szCs w:val="28"/>
        </w:rPr>
      </w:pPr>
      <w:r>
        <w:rPr>
          <w:rFonts w:ascii="Times New Roman" w:hAnsi="Times New Roman"/>
          <w:bCs/>
          <w:sz w:val="28"/>
          <w:szCs w:val="28"/>
        </w:rPr>
        <w:t>Power supply: AC 110-220V, 50/60Hz, ≤ 120W</w:t>
      </w:r>
    </w:p>
    <w:p w14:paraId="19C2CA3F">
      <w:pPr>
        <w:spacing w:line="400" w:lineRule="exact"/>
        <w:rPr>
          <w:rFonts w:ascii="Times New Roman" w:hAnsi="Times New Roman"/>
          <w:sz w:val="28"/>
          <w:szCs w:val="28"/>
        </w:rPr>
      </w:pPr>
      <w:r>
        <w:rPr>
          <w:rFonts w:ascii="Times New Roman" w:hAnsi="Times New Roman"/>
          <w:sz w:val="28"/>
          <w:szCs w:val="28"/>
        </w:rPr>
        <w:t xml:space="preserve"> </w:t>
      </w:r>
    </w:p>
    <w:p w14:paraId="56B43EB4">
      <w:pPr>
        <w:rPr>
          <w:rFonts w:ascii="Times New Roman" w:hAnsi="Times New Roman"/>
          <w:sz w:val="28"/>
          <w:szCs w:val="28"/>
        </w:rPr>
      </w:pPr>
    </w:p>
    <w:p w14:paraId="7E7783C2">
      <w:pPr>
        <w:rPr>
          <w:rFonts w:ascii="Times New Roman" w:hAnsi="Times New Roman"/>
          <w:sz w:val="28"/>
          <w:szCs w:val="28"/>
        </w:rPr>
      </w:pPr>
    </w:p>
    <w:sectPr>
      <w:headerReference r:id="rId3" w:type="default"/>
      <w:footerReference r:id="rId4" w:type="default"/>
      <w:pgSz w:w="11906" w:h="16838"/>
      <w:pgMar w:top="1440" w:right="1080" w:bottom="1440" w:left="1080" w:header="510" w:footer="0"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AAFDA">
    <w:pPr>
      <w:rPr>
        <w:sz w:val="28"/>
        <w:szCs w:val="28"/>
      </w:rPr>
    </w:pPr>
    <w:r>
      <w:rPr>
        <w:sz w:val="28"/>
        <w:szCs w:val="28"/>
      </w:rPr>
      <w:t xml:space="preserve">Shandong Shengtai Instrument Co.,ltd  </w:t>
    </w:r>
  </w:p>
  <w:p w14:paraId="75FAF9C0">
    <w:pPr>
      <w:rPr>
        <w:sz w:val="28"/>
        <w:szCs w:val="28"/>
      </w:rPr>
    </w:pPr>
    <w:r>
      <w:rPr>
        <w:sz w:val="28"/>
        <w:szCs w:val="28"/>
      </w:rPr>
      <w:t xml:space="preserve">ADD：6-8 time base NO.15 lanxiang road tianqiao Area </w:t>
    </w:r>
    <w:r>
      <w:rPr>
        <w:rFonts w:hint="eastAsia"/>
        <w:sz w:val="28"/>
        <w:szCs w:val="28"/>
      </w:rPr>
      <w:t>J</w:t>
    </w:r>
    <w:r>
      <w:rPr>
        <w:sz w:val="28"/>
        <w:szCs w:val="28"/>
      </w:rPr>
      <w:t xml:space="preserve">inan city  </w:t>
    </w:r>
  </w:p>
  <w:p w14:paraId="0E4DFAD7">
    <w:pPr>
      <w:rPr>
        <w:sz w:val="28"/>
        <w:szCs w:val="28"/>
      </w:rPr>
    </w:pPr>
    <w:r>
      <w:rPr>
        <w:sz w:val="28"/>
        <w:szCs w:val="28"/>
      </w:rPr>
      <w:t>TEL：</w:t>
    </w:r>
    <w:r>
      <w:rPr>
        <w:rFonts w:hint="eastAsia"/>
        <w:sz w:val="28"/>
        <w:szCs w:val="28"/>
      </w:rPr>
      <w:t>+86</w:t>
    </w:r>
    <w:r>
      <w:rPr>
        <w:sz w:val="28"/>
        <w:szCs w:val="28"/>
      </w:rPr>
      <w:t xml:space="preserve">0531-85919987   </w:t>
    </w:r>
    <w:r>
      <w:rPr>
        <w:rFonts w:hint="eastAsia"/>
        <w:sz w:val="28"/>
        <w:szCs w:val="28"/>
      </w:rPr>
      <w:t>+86</w:t>
    </w:r>
    <w:r>
      <w:rPr>
        <w:sz w:val="28"/>
        <w:szCs w:val="28"/>
      </w:rPr>
      <w:t>85929987</w:t>
    </w:r>
  </w:p>
  <w:p w14:paraId="3BD9A9FA">
    <w:pPr>
      <w:rPr>
        <w:sz w:val="28"/>
        <w:szCs w:val="28"/>
      </w:rPr>
    </w:pPr>
    <w:r>
      <w:rPr>
        <w:sz w:val="28"/>
        <w:szCs w:val="28"/>
      </w:rPr>
      <w:t>FAX：</w:t>
    </w:r>
    <w:r>
      <w:rPr>
        <w:rFonts w:hint="eastAsia"/>
        <w:sz w:val="28"/>
        <w:szCs w:val="28"/>
      </w:rPr>
      <w:t>+86</w:t>
    </w:r>
    <w:r>
      <w:rPr>
        <w:sz w:val="28"/>
        <w:szCs w:val="28"/>
      </w:rPr>
      <w:t>0531-85957987</w:t>
    </w:r>
    <w:r>
      <w:rPr>
        <w:rFonts w:hint="eastAsia"/>
        <w:sz w:val="28"/>
        <w:szCs w:val="28"/>
      </w:rPr>
      <w:t xml:space="preserve">    </w:t>
    </w:r>
    <w:r>
      <w:rPr>
        <w:sz w:val="28"/>
        <w:szCs w:val="28"/>
      </w:rPr>
      <w:t>Web：</w:t>
    </w:r>
    <w:r>
      <w:fldChar w:fldCharType="begin"/>
    </w:r>
    <w:r>
      <w:instrText xml:space="preserve"> HYPERLINK "http://www.st-test.net" </w:instrText>
    </w:r>
    <w:r>
      <w:fldChar w:fldCharType="separate"/>
    </w:r>
    <w:r>
      <w:rPr>
        <w:sz w:val="28"/>
        <w:szCs w:val="28"/>
      </w:rPr>
      <w:t>www.labtool.net</w:t>
    </w:r>
    <w:r>
      <w:rPr>
        <w:sz w:val="28"/>
        <w:szCs w:val="28"/>
      </w:rPr>
      <w:fldChar w:fldCharType="end"/>
    </w:r>
    <w:r>
      <w:rPr>
        <w:sz w:val="28"/>
        <w:szCs w:val="28"/>
      </w:rPr>
      <w:t>/en</w:t>
    </w:r>
  </w:p>
  <w:p w14:paraId="1B40AE2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0BEAC">
    <w:pPr>
      <w:pStyle w:val="4"/>
      <w:rPr>
        <w:b/>
        <w:spacing w:val="52"/>
        <w:sz w:val="44"/>
        <w:szCs w:val="44"/>
      </w:rPr>
    </w:pPr>
    <w:r>
      <w:rPr>
        <w:rFonts w:hint="eastAsia"/>
        <w:b/>
        <w:spacing w:val="52"/>
        <w:sz w:val="44"/>
        <w:szCs w:val="44"/>
      </w:rPr>
      <w:drawing>
        <wp:anchor distT="0" distB="0" distL="114300" distR="114300" simplePos="0" relativeHeight="251660288" behindDoc="1" locked="0" layoutInCell="1" allowOverlap="1">
          <wp:simplePos x="0" y="0"/>
          <wp:positionH relativeFrom="column">
            <wp:posOffset>-114300</wp:posOffset>
          </wp:positionH>
          <wp:positionV relativeFrom="paragraph">
            <wp:posOffset>-244475</wp:posOffset>
          </wp:positionV>
          <wp:extent cx="1003300" cy="891540"/>
          <wp:effectExtent l="0" t="0" r="6350" b="3810"/>
          <wp:wrapNone/>
          <wp:docPr id="1" name="图片 1" descr="qiy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iyelogo"/>
                  <pic:cNvPicPr>
                    <a:picLocks noChangeAspect="1"/>
                  </pic:cNvPicPr>
                </pic:nvPicPr>
                <pic:blipFill>
                  <a:blip r:embed="rId1"/>
                  <a:srcRect r="20157"/>
                  <a:stretch>
                    <a:fillRect/>
                  </a:stretch>
                </pic:blipFill>
                <pic:spPr>
                  <a:xfrm>
                    <a:off x="0" y="0"/>
                    <a:ext cx="1003300" cy="891540"/>
                  </a:xfrm>
                  <a:prstGeom prst="rect">
                    <a:avLst/>
                  </a:prstGeom>
                  <a:noFill/>
                  <a:ln>
                    <a:noFill/>
                  </a:ln>
                </pic:spPr>
              </pic:pic>
            </a:graphicData>
          </a:graphic>
        </wp:anchor>
      </w:drawing>
    </w:r>
    <w:r>
      <w:rPr>
        <w:rFonts w:hint="eastAsia"/>
        <w:b/>
        <w:spacing w:val="52"/>
        <w:sz w:val="44"/>
        <w:szCs w:val="44"/>
      </w:rPr>
      <w:t xml:space="preserve">  山东盛泰仪器有限公司</w:t>
    </w:r>
  </w:p>
  <w:p w14:paraId="586C951F">
    <w:pPr>
      <w:pStyle w:val="4"/>
      <w:rPr>
        <w:szCs w:val="36"/>
      </w:rPr>
    </w:pPr>
    <w:r>
      <w:rPr>
        <w:rFonts w:hint="eastAsia" w:ascii="Arial" w:hAnsi="Arial" w:eastAsia="黑体" w:cs="Arial"/>
        <w:color w:val="000000"/>
        <w:spacing w:val="20"/>
        <w:kern w:val="6"/>
        <w:sz w:val="32"/>
        <w:szCs w:val="32"/>
      </w:rPr>
      <w:t xml:space="preserve">    Shandong</w:t>
    </w:r>
    <w:r>
      <w:rPr>
        <w:rFonts w:ascii="Arial" w:hAnsi="Arial" w:eastAsia="黑体" w:cs="Arial"/>
        <w:color w:val="000000"/>
        <w:spacing w:val="20"/>
        <w:kern w:val="6"/>
        <w:sz w:val="32"/>
        <w:szCs w:val="32"/>
      </w:rPr>
      <w:t xml:space="preserve"> Shen</w:t>
    </w:r>
    <w:r>
      <w:rPr>
        <w:rFonts w:hint="eastAsia" w:ascii="Arial" w:hAnsi="Arial" w:eastAsia="黑体" w:cs="Arial"/>
        <w:color w:val="000000"/>
        <w:spacing w:val="20"/>
        <w:kern w:val="6"/>
        <w:sz w:val="32"/>
        <w:szCs w:val="32"/>
      </w:rPr>
      <w:t>g</w:t>
    </w:r>
    <w:r>
      <w:rPr>
        <w:rFonts w:ascii="Arial" w:hAnsi="Arial" w:eastAsia="黑体" w:cs="Arial"/>
        <w:color w:val="000000"/>
        <w:spacing w:val="20"/>
        <w:kern w:val="6"/>
        <w:sz w:val="32"/>
        <w:szCs w:val="32"/>
      </w:rPr>
      <w:t>tai Instrument Co.,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2A1F04"/>
    <w:multiLevelType w:val="multilevel"/>
    <w:tmpl w:val="192A1F0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B791ECB"/>
    <w:multiLevelType w:val="multilevel"/>
    <w:tmpl w:val="1B791ECB"/>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91054D4"/>
    <w:multiLevelType w:val="multilevel"/>
    <w:tmpl w:val="391054D4"/>
    <w:lvl w:ilvl="0" w:tentative="0">
      <w:start w:val="1"/>
      <w:numFmt w:val="bullet"/>
      <w:lvlText w:val=""/>
      <w:lvlJc w:val="left"/>
      <w:pPr>
        <w:ind w:left="360" w:hanging="36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FiZGZkYjY2MGM0ODM2ZjNiZmM0MGU0M2Y1NjE0MTIifQ=="/>
  </w:docVars>
  <w:rsids>
    <w:rsidRoot w:val="4ABF055E"/>
    <w:rsid w:val="001E5986"/>
    <w:rsid w:val="006B4FD3"/>
    <w:rsid w:val="00755B35"/>
    <w:rsid w:val="008210C4"/>
    <w:rsid w:val="00BA459B"/>
    <w:rsid w:val="00D0699C"/>
    <w:rsid w:val="00D3551D"/>
    <w:rsid w:val="00DB60A2"/>
    <w:rsid w:val="00DF5D5C"/>
    <w:rsid w:val="00E50B46"/>
    <w:rsid w:val="00E51234"/>
    <w:rsid w:val="00F20CD7"/>
    <w:rsid w:val="00F272B3"/>
    <w:rsid w:val="00F31330"/>
    <w:rsid w:val="00F931C1"/>
    <w:rsid w:val="00FD647A"/>
    <w:rsid w:val="044429C2"/>
    <w:rsid w:val="04EF2EA0"/>
    <w:rsid w:val="14CA2D1B"/>
    <w:rsid w:val="173924EC"/>
    <w:rsid w:val="286D4E4F"/>
    <w:rsid w:val="2CD03B38"/>
    <w:rsid w:val="31112B83"/>
    <w:rsid w:val="31525FC8"/>
    <w:rsid w:val="32EE5F33"/>
    <w:rsid w:val="3CC443D4"/>
    <w:rsid w:val="4ABF055E"/>
    <w:rsid w:val="4E555257"/>
    <w:rsid w:val="5BE93DBE"/>
    <w:rsid w:val="63B158F5"/>
    <w:rsid w:val="6EF12DBD"/>
    <w:rsid w:val="72D27192"/>
    <w:rsid w:val="74C2345C"/>
    <w:rsid w:val="7644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qFormat/>
    <w:uiPriority w:val="0"/>
    <w:pPr>
      <w:tabs>
        <w:tab w:val="center" w:pos="4153"/>
        <w:tab w:val="right" w:pos="8306"/>
      </w:tabs>
      <w:snapToGrid w:val="0"/>
    </w:pPr>
    <w:rPr>
      <w:sz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列出段落1"/>
    <w:basedOn w:val="1"/>
    <w:qFormat/>
    <w:uiPriority w:val="34"/>
    <w:pPr>
      <w:ind w:firstLine="420" w:firstLineChars="200"/>
    </w:pPr>
  </w:style>
  <w:style w:type="character" w:customStyle="1" w:styleId="9">
    <w:name w:val="批注框文本 Char"/>
    <w:basedOn w:val="7"/>
    <w:link w:val="2"/>
    <w:uiPriority w:val="0"/>
    <w:rPr>
      <w:rFonts w:cs="Times New Roman"/>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643</Words>
  <Characters>3821</Characters>
  <Lines>31</Lines>
  <Paragraphs>8</Paragraphs>
  <TotalTime>34</TotalTime>
  <ScaleCrop>false</ScaleCrop>
  <LinksUpToDate>false</LinksUpToDate>
  <CharactersWithSpaces>4392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2021-09-19T07:40:00Z</dcterms:created>
  <dc:creator>candy(盛泰仪器)15665870097</dc:creator>
  <cp:lastModifiedBy>热心网友某某某</cp:lastModifiedBy>
  <dcterms:modified xsi:type="dcterms:W3CDTF">2026-03-12T07:24:18Z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46A0A51ED2B644D197B973E5D9518176</vt:lpwstr>
  </property>
  <property fmtid="{D5CDD505-2E9C-101B-9397-08002B2CF9AE}" pid="4" name="KSOTemplateDocerSaveRecord">
    <vt:lpwstr>eyJoZGlkIjoiNjM3MTJlN2M1NDAwZWFiZGM4ZWQ3ZjY2ZTcxYWMzOTgiLCJ1c2VySWQiOiIxNTE0NTM1MzE2In0=</vt:lpwstr>
  </property>
</Properties>
</file>